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B5" w:rsidRPr="00E00F6B" w:rsidRDefault="00D33B87" w:rsidP="00D557E0">
      <w:pPr>
        <w:ind w:firstLine="0"/>
        <w:jc w:val="center"/>
        <w:rPr>
          <w:rFonts w:ascii="Times New Roman" w:hAnsi="Times New Roman"/>
          <w:b/>
          <w:sz w:val="28"/>
          <w:szCs w:val="28"/>
        </w:rPr>
      </w:pPr>
      <w:bookmarkStart w:id="0" w:name="_GoBack"/>
      <w:bookmarkEnd w:id="0"/>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 xml:space="preserve">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sidR="00980A5D" w:rsidRPr="00E00F6B">
        <w:rPr>
          <w:rFonts w:ascii="Times New Roman" w:hAnsi="Times New Roman"/>
          <w:sz w:val="28"/>
          <w:szCs w:val="28"/>
        </w:rPr>
        <w:lastRenderedPageBreak/>
        <w:t>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 xml:space="preserve">к ответственным специалистам Департамента государственной </w:t>
      </w:r>
      <w:r w:rsidR="00D72C4E">
        <w:rPr>
          <w:rFonts w:ascii="Times New Roman" w:hAnsi="Times New Roman"/>
          <w:sz w:val="28"/>
          <w:szCs w:val="28"/>
        </w:rPr>
        <w:lastRenderedPageBreak/>
        <w:t>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w:t>
      </w:r>
      <w:r w:rsidRPr="009C2771">
        <w:rPr>
          <w:rFonts w:ascii="Times New Roman" w:hAnsi="Times New Roman"/>
          <w:sz w:val="28"/>
          <w:szCs w:val="28"/>
        </w:rPr>
        <w:lastRenderedPageBreak/>
        <w:t>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w:t>
      </w:r>
      <w:r w:rsidRPr="002E3630">
        <w:rPr>
          <w:rFonts w:ascii="Times New Roman" w:hAnsi="Times New Roman"/>
          <w:sz w:val="28"/>
          <w:szCs w:val="28"/>
        </w:rPr>
        <w:lastRenderedPageBreak/>
        <w:t xml:space="preserve">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w:t>
      </w:r>
      <w:r w:rsidRPr="00427B53">
        <w:rPr>
          <w:rFonts w:ascii="Times New Roman" w:hAnsi="Times New Roman"/>
          <w:sz w:val="28"/>
          <w:szCs w:val="28"/>
        </w:rPr>
        <w:lastRenderedPageBreak/>
        <w:t xml:space="preserve">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 xml:space="preserve">Центрального банка </w:t>
      </w:r>
      <w:r w:rsidRPr="002E3630">
        <w:rPr>
          <w:rFonts w:ascii="Times New Roman" w:hAnsi="Times New Roman"/>
          <w:sz w:val="28"/>
          <w:szCs w:val="28"/>
        </w:rPr>
        <w:lastRenderedPageBreak/>
        <w:t>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lastRenderedPageBreak/>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w:t>
      </w:r>
      <w:r w:rsidRPr="002E3630">
        <w:rPr>
          <w:rFonts w:ascii="Times New Roman" w:hAnsi="Times New Roman"/>
          <w:sz w:val="28"/>
          <w:szCs w:val="28"/>
        </w:rPr>
        <w:lastRenderedPageBreak/>
        <w:t>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w:t>
      </w:r>
      <w:r w:rsidR="00F168FD" w:rsidRPr="002E3630">
        <w:rPr>
          <w:rFonts w:ascii="Times New Roman" w:hAnsi="Times New Roman"/>
          <w:sz w:val="28"/>
          <w:szCs w:val="28"/>
        </w:rPr>
        <w:lastRenderedPageBreak/>
        <w:t xml:space="preserve">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w:t>
            </w:r>
            <w:r w:rsidRPr="00E00F6B">
              <w:rPr>
                <w:rFonts w:ascii="Times New Roman" w:hAnsi="Times New Roman"/>
                <w:sz w:val="28"/>
                <w:szCs w:val="28"/>
              </w:rPr>
              <w:lastRenderedPageBreak/>
              <w:t xml:space="preserve">(далее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w:t>
            </w:r>
            <w:r w:rsidRPr="00E00F6B">
              <w:rPr>
                <w:rFonts w:ascii="Times New Roman" w:hAnsi="Times New Roman"/>
                <w:sz w:val="28"/>
                <w:szCs w:val="28"/>
              </w:rPr>
              <w:lastRenderedPageBreak/>
              <w:t xml:space="preserve">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lastRenderedPageBreak/>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w:t>
      </w:r>
      <w:r w:rsidRPr="00E00F6B">
        <w:rPr>
          <w:rFonts w:ascii="Times New Roman" w:hAnsi="Times New Roman"/>
          <w:sz w:val="28"/>
          <w:szCs w:val="28"/>
        </w:rPr>
        <w:lastRenderedPageBreak/>
        <w:t>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w:t>
            </w:r>
            <w:r w:rsidRPr="00E00F6B">
              <w:rPr>
                <w:rFonts w:ascii="Times New Roman" w:hAnsi="Times New Roman"/>
                <w:sz w:val="28"/>
                <w:szCs w:val="28"/>
              </w:rPr>
              <w:lastRenderedPageBreak/>
              <w:t xml:space="preserve">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E00F6B">
              <w:rPr>
                <w:rFonts w:ascii="Times New Roman" w:hAnsi="Times New Roman"/>
                <w:sz w:val="28"/>
                <w:szCs w:val="28"/>
              </w:rPr>
              <w:lastRenderedPageBreak/>
              <w:t>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lastRenderedPageBreak/>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lastRenderedPageBreak/>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 xml:space="preserve">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w:t>
      </w:r>
      <w:r w:rsidR="00096ED3" w:rsidRPr="00E00F6B">
        <w:rPr>
          <w:sz w:val="28"/>
          <w:szCs w:val="28"/>
        </w:rPr>
        <w:lastRenderedPageBreak/>
        <w:t>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xml:space="preserve">, либо полученные в виде разовой социальной выплаты на погашение </w:t>
      </w:r>
      <w:r w:rsidRPr="00E00F6B">
        <w:rPr>
          <w:rFonts w:ascii="Times New Roman" w:hAnsi="Times New Roman"/>
          <w:sz w:val="28"/>
          <w:szCs w:val="28"/>
        </w:rPr>
        <w:lastRenderedPageBreak/>
        <w:t>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w:t>
      </w:r>
      <w:r w:rsidRPr="00E00F6B">
        <w:rPr>
          <w:rStyle w:val="a8"/>
          <w:rFonts w:ascii="Times New Roman" w:hAnsi="Times New Roman" w:cs="Times New Roman"/>
          <w:sz w:val="28"/>
          <w:szCs w:val="28"/>
        </w:rPr>
        <w:lastRenderedPageBreak/>
        <w:t xml:space="preserve">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lastRenderedPageBreak/>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lastRenderedPageBreak/>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 xml:space="preserve">возмещения расходов, понесенных служащим (работником), </w:t>
      </w:r>
      <w:r w:rsidRPr="00E00F6B">
        <w:rPr>
          <w:rFonts w:ascii="Times New Roman" w:hAnsi="Times New Roman"/>
          <w:sz w:val="28"/>
          <w:szCs w:val="28"/>
        </w:rPr>
        <w:lastRenderedPageBreak/>
        <w:t>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lastRenderedPageBreak/>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lastRenderedPageBreak/>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lastRenderedPageBreak/>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w:t>
      </w:r>
      <w:r w:rsidRPr="00E00F6B">
        <w:rPr>
          <w:rFonts w:ascii="Times New Roman" w:hAnsi="Times New Roman"/>
          <w:sz w:val="28"/>
          <w:szCs w:val="28"/>
        </w:rPr>
        <w:lastRenderedPageBreak/>
        <w:t>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lastRenderedPageBreak/>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w:t>
      </w:r>
      <w:r w:rsidR="00B07827" w:rsidRPr="002E3630">
        <w:rPr>
          <w:rFonts w:ascii="Times New Roman" w:hAnsi="Times New Roman"/>
          <w:sz w:val="28"/>
          <w:szCs w:val="28"/>
          <w:lang w:eastAsia="ru-RU"/>
        </w:rPr>
        <w:lastRenderedPageBreak/>
        <w:t>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lastRenderedPageBreak/>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w:t>
      </w:r>
      <w:r w:rsidRPr="002E3630">
        <w:rPr>
          <w:rFonts w:ascii="Times New Roman" w:hAnsi="Times New Roman"/>
          <w:sz w:val="28"/>
          <w:szCs w:val="28"/>
        </w:rPr>
        <w:lastRenderedPageBreak/>
        <w:t>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 xml:space="preserve">о общему правилу, предусмотренному пунктом 2 статьи 223 Гражданского кодекса Российской Федерации, в случаях, когда отчуждение </w:t>
      </w:r>
      <w:r w:rsidRPr="003D76BE">
        <w:rPr>
          <w:rFonts w:ascii="Times New Roman" w:hAnsi="Times New Roman"/>
          <w:sz w:val="28"/>
          <w:szCs w:val="28"/>
        </w:rPr>
        <w:lastRenderedPageBreak/>
        <w:t>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w:t>
      </w:r>
      <w:r w:rsidR="00866005" w:rsidRPr="002E3630">
        <w:rPr>
          <w:rFonts w:ascii="Times New Roman" w:hAnsi="Times New Roman"/>
          <w:sz w:val="28"/>
          <w:szCs w:val="28"/>
        </w:rPr>
        <w:lastRenderedPageBreak/>
        <w:t xml:space="preserve">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xml:space="preserve">, то его следует отразить в данном подразделе </w:t>
      </w:r>
      <w:r w:rsidRPr="002E3630">
        <w:rPr>
          <w:rFonts w:ascii="Times New Roman" w:hAnsi="Times New Roman"/>
          <w:sz w:val="28"/>
          <w:szCs w:val="28"/>
        </w:rPr>
        <w:lastRenderedPageBreak/>
        <w:t>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lastRenderedPageBreak/>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lastRenderedPageBreak/>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lastRenderedPageBreak/>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w:t>
      </w:r>
      <w:r w:rsidRPr="002E3630">
        <w:rPr>
          <w:rFonts w:ascii="Times New Roman" w:hAnsi="Times New Roman"/>
          <w:sz w:val="28"/>
          <w:szCs w:val="28"/>
        </w:rPr>
        <w:lastRenderedPageBreak/>
        <w:t xml:space="preserve">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lastRenderedPageBreak/>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lastRenderedPageBreak/>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w:t>
      </w:r>
      <w:r w:rsidRPr="00016F61">
        <w:rPr>
          <w:rFonts w:ascii="Times New Roman" w:hAnsi="Times New Roman"/>
          <w:sz w:val="28"/>
          <w:szCs w:val="28"/>
        </w:rPr>
        <w:lastRenderedPageBreak/>
        <w:t>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lastRenderedPageBreak/>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lastRenderedPageBreak/>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lastRenderedPageBreak/>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у служащего </w:t>
      </w:r>
      <w:r w:rsidRPr="00E00F6B">
        <w:rPr>
          <w:rFonts w:ascii="Times New Roman" w:hAnsi="Times New Roman"/>
          <w:sz w:val="28"/>
          <w:szCs w:val="28"/>
        </w:rPr>
        <w:lastRenderedPageBreak/>
        <w:t>(работника),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w:t>
      </w:r>
      <w:r w:rsidR="00FB4F2E" w:rsidRPr="00E00F6B">
        <w:rPr>
          <w:rFonts w:ascii="Times New Roman" w:hAnsi="Times New Roman"/>
          <w:sz w:val="28"/>
          <w:szCs w:val="28"/>
        </w:rPr>
        <w:lastRenderedPageBreak/>
        <w:t>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w:t>
      </w:r>
      <w:r w:rsidRPr="00E00F6B">
        <w:rPr>
          <w:rFonts w:ascii="Times New Roman" w:hAnsi="Times New Roman"/>
          <w:sz w:val="28"/>
          <w:szCs w:val="28"/>
        </w:rPr>
        <w:lastRenderedPageBreak/>
        <w:t>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xml:space="preserve">) составил менее 500 000 рублей, то </w:t>
      </w:r>
      <w:r w:rsidR="00096ED3" w:rsidRPr="00427B53">
        <w:rPr>
          <w:rFonts w:ascii="Times New Roman" w:hAnsi="Times New Roman"/>
          <w:sz w:val="28"/>
          <w:szCs w:val="28"/>
        </w:rPr>
        <w:lastRenderedPageBreak/>
        <w:t>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lastRenderedPageBreak/>
        <w:t xml:space="preserve">11) финансовые обязательства, участником которой в силу Федерального закона от 23 декабря 20103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w:t>
      </w:r>
      <w:r w:rsidRPr="00E00F6B">
        <w:rPr>
          <w:rFonts w:ascii="Times New Roman" w:hAnsi="Times New Roman"/>
          <w:sz w:val="28"/>
          <w:szCs w:val="28"/>
        </w:rPr>
        <w:lastRenderedPageBreak/>
        <w:t>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 xml:space="preserve">ого страхования; страхования жизни с условием периодических страховых выплат (ренты, аннуитетов) и (или) с участием страхователя в </w:t>
      </w:r>
      <w:r w:rsidRPr="00E00AC4">
        <w:rPr>
          <w:rFonts w:ascii="Times New Roman" w:hAnsi="Times New Roman"/>
          <w:b/>
          <w:sz w:val="28"/>
          <w:szCs w:val="28"/>
        </w:rPr>
        <w:lastRenderedPageBreak/>
        <w:t>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w:t>
      </w:r>
      <w:r>
        <w:rPr>
          <w:rFonts w:ascii="Times New Roman" w:hAnsi="Times New Roman"/>
          <w:sz w:val="28"/>
          <w:szCs w:val="28"/>
        </w:rPr>
        <w:lastRenderedPageBreak/>
        <w:t>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 xml:space="preserve">Также указывается актуальный адрес места регистрации физического </w:t>
      </w:r>
      <w:r w:rsidRPr="00E00F6B">
        <w:rPr>
          <w:rFonts w:ascii="Times New Roman" w:hAnsi="Times New Roman"/>
          <w:sz w:val="28"/>
          <w:szCs w:val="28"/>
        </w:rPr>
        <w:lastRenderedPageBreak/>
        <w:t>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38C" w:rsidRDefault="00CE138C" w:rsidP="00204BB5">
      <w:r>
        <w:separator/>
      </w:r>
    </w:p>
  </w:endnote>
  <w:endnote w:type="continuationSeparator" w:id="0">
    <w:p w:rsidR="00CE138C" w:rsidRDefault="00CE138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38C" w:rsidRDefault="00CE138C" w:rsidP="00204BB5">
      <w:r>
        <w:separator/>
      </w:r>
    </w:p>
  </w:footnote>
  <w:footnote w:type="continuationSeparator" w:id="0">
    <w:p w:rsidR="00CE138C" w:rsidRDefault="00CE138C"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8170D">
      <w:rPr>
        <w:rFonts w:ascii="Times New Roman" w:hAnsi="Times New Roman"/>
        <w:noProof/>
        <w:sz w:val="28"/>
        <w:szCs w:val="28"/>
      </w:rPr>
      <w:t>21</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170D"/>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0CE1116-D8E3-4154-9854-500745BC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18185</Words>
  <Characters>103655</Characters>
  <Application>Microsoft Office Word</Application>
  <DocSecurity>4</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121597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Приемная ГИТ Коми</cp:lastModifiedBy>
  <cp:revision>2</cp:revision>
  <cp:lastPrinted>2020-01-11T07:19:00Z</cp:lastPrinted>
  <dcterms:created xsi:type="dcterms:W3CDTF">2020-01-11T07:20:00Z</dcterms:created>
  <dcterms:modified xsi:type="dcterms:W3CDTF">2020-01-11T07:20:00Z</dcterms:modified>
</cp:coreProperties>
</file>